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2EB819B7"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Pr>
          <w:b/>
          <w:bCs/>
          <w:noProof/>
          <w:sz w:val="24"/>
        </w:rPr>
        <w:t>6</w:t>
      </w:r>
      <w:r>
        <w:rPr>
          <w:rFonts w:ascii="微軟正黑體" w:eastAsia="微軟正黑體" w:hAnsi="微軟正黑體" w:cs="微軟正黑體" w:hint="eastAsia"/>
          <w:b/>
          <w:bCs/>
          <w:noProof/>
          <w:sz w:val="24"/>
          <w:lang w:eastAsia="zh-TW"/>
        </w:rPr>
        <w:t>-</w:t>
      </w:r>
      <w:r>
        <w:rPr>
          <w:b/>
          <w:bCs/>
          <w:noProof/>
          <w:sz w:val="24"/>
        </w:rPr>
        <w:t>bis</w:t>
      </w:r>
      <w:r>
        <w:rPr>
          <w:b/>
          <w:i/>
          <w:noProof/>
          <w:sz w:val="28"/>
        </w:rPr>
        <w:tab/>
      </w:r>
      <w:r>
        <w:rPr>
          <w:b/>
          <w:iCs/>
          <w:noProof/>
          <w:sz w:val="24"/>
          <w:szCs w:val="18"/>
        </w:rPr>
        <w:t>R1-240</w:t>
      </w:r>
      <w:r w:rsidR="006C25FC">
        <w:rPr>
          <w:b/>
          <w:iCs/>
          <w:noProof/>
          <w:sz w:val="24"/>
          <w:szCs w:val="18"/>
        </w:rPr>
        <w:t>2719</w:t>
      </w:r>
    </w:p>
    <w:p w14:paraId="3DA237DF" w14:textId="0AC14C37" w:rsidR="005E3D09" w:rsidRDefault="005E3D09" w:rsidP="005E3D09">
      <w:pPr>
        <w:pStyle w:val="CRCoverPage"/>
        <w:outlineLvl w:val="0"/>
        <w:rPr>
          <w:b/>
          <w:noProof/>
          <w:sz w:val="24"/>
        </w:rPr>
      </w:pPr>
      <w:r w:rsidRPr="0053030E">
        <w:rPr>
          <w:rFonts w:eastAsia="SimSun" w:cs="Arial"/>
          <w:b/>
          <w:bCs/>
          <w:sz w:val="24"/>
          <w:lang w:eastAsia="zh-CN"/>
        </w:rPr>
        <w:t>Changsha, Hunan Province, China, April 15th – 19th, 2024</w:t>
      </w:r>
    </w:p>
    <w:p w14:paraId="0A356815" w14:textId="0A5705F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A22B9">
        <w:rPr>
          <w:rFonts w:ascii="Arial" w:hAnsi="Arial" w:cs="Arial"/>
          <w:sz w:val="22"/>
          <w:szCs w:val="22"/>
          <w:lang w:val="pt-BR" w:eastAsia="zh-TW"/>
        </w:rPr>
        <w:t>9.2.4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6075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EA22B9">
        <w:rPr>
          <w:rFonts w:ascii="Arial" w:hAnsi="Arial" w:cs="Arial"/>
          <w:sz w:val="22"/>
          <w:szCs w:val="22"/>
          <w:lang w:val="en-US" w:eastAsia="zh-TW"/>
        </w:rPr>
        <w:t>asymmetric DL sTRP and UL mTRP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59FC14F" w14:textId="48217EEA" w:rsidR="003C2A43"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3C2A43">
        <w:rPr>
          <w:rFonts w:ascii="Arial" w:hAnsi="Arial" w:cs="Arial"/>
          <w:sz w:val="22"/>
          <w:szCs w:val="22"/>
        </w:rPr>
        <w:t>past RAN1 meeting, related progress is quoted below</w:t>
      </w:r>
    </w:p>
    <w:p w14:paraId="40A1DC43"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1C8BBD99" w14:textId="77777777" w:rsidR="00EA22B9" w:rsidRPr="00EA22B9" w:rsidRDefault="00EA22B9" w:rsidP="00EA22B9">
      <w:pPr>
        <w:overflowPunct/>
        <w:autoSpaceDE/>
        <w:autoSpaceDN/>
        <w:adjustRightInd/>
        <w:spacing w:after="0"/>
        <w:jc w:val="both"/>
        <w:textAlignment w:val="auto"/>
        <w:rPr>
          <w:rFonts w:eastAsia="Malgun Gothic"/>
          <w:lang w:eastAsia="en-US"/>
        </w:rPr>
      </w:pPr>
      <w:r w:rsidRPr="00EA22B9">
        <w:rPr>
          <w:rFonts w:eastAsia="Malgun Gothic"/>
          <w:lang w:eastAsia="en-US"/>
        </w:rPr>
        <w:t>For the asymmetric DL sTRP/UL mTRP deployment scenarios, support to associate a UL TCI state with a PL offset:</w:t>
      </w:r>
    </w:p>
    <w:p w14:paraId="37F56675" w14:textId="77777777" w:rsidR="00EA22B9" w:rsidRPr="00EA22B9" w:rsidRDefault="00EA22B9" w:rsidP="00EA22B9">
      <w:pPr>
        <w:numPr>
          <w:ilvl w:val="0"/>
          <w:numId w:val="35"/>
        </w:numPr>
        <w:overflowPunct/>
        <w:autoSpaceDE/>
        <w:autoSpaceDN/>
        <w:adjustRightInd/>
        <w:spacing w:after="0"/>
        <w:jc w:val="both"/>
        <w:textAlignment w:val="auto"/>
        <w:rPr>
          <w:rFonts w:eastAsia="Malgun Gothic"/>
          <w:lang w:eastAsia="en-US"/>
        </w:rPr>
      </w:pPr>
      <w:r w:rsidRPr="00EA22B9">
        <w:rPr>
          <w:rFonts w:eastAsia="Malgun Gothic"/>
          <w:lang w:eastAsia="en-US"/>
        </w:rPr>
        <w:t>When a UL TCI state associated with a PL offset is applied for the PUSCH/PUCCH/SRS transmission, the UE shall calculate the Tx power of the PUSCH/PUCCH/SRS based on the DL PL RS and PL offset associated with this UL TCI state.</w:t>
      </w:r>
    </w:p>
    <w:p w14:paraId="5C68621B" w14:textId="77777777" w:rsidR="00EA22B9" w:rsidRPr="00EA22B9" w:rsidRDefault="00EA22B9" w:rsidP="00EA22B9">
      <w:pPr>
        <w:numPr>
          <w:ilvl w:val="1"/>
          <w:numId w:val="35"/>
        </w:numPr>
        <w:overflowPunct/>
        <w:autoSpaceDE/>
        <w:autoSpaceDN/>
        <w:adjustRightInd/>
        <w:spacing w:after="0"/>
        <w:jc w:val="both"/>
        <w:textAlignment w:val="auto"/>
        <w:rPr>
          <w:rFonts w:eastAsia="Malgun Gothic"/>
          <w:lang w:eastAsia="en-US"/>
        </w:rPr>
      </w:pPr>
      <w:r w:rsidRPr="00EA22B9">
        <w:rPr>
          <w:rFonts w:eastAsia="Malgun Gothic"/>
          <w:lang w:eastAsia="en-US"/>
        </w:rPr>
        <w:t>Reuse the legacy uplink power control formulation by replacing legacy PL with UL PL which is derived from the DL PL RS and the PL offset.</w:t>
      </w:r>
    </w:p>
    <w:p w14:paraId="2B888A37" w14:textId="77777777" w:rsidR="00EA22B9" w:rsidRPr="00EA22B9" w:rsidRDefault="00EA22B9" w:rsidP="00EA22B9">
      <w:pPr>
        <w:numPr>
          <w:ilvl w:val="1"/>
          <w:numId w:val="35"/>
        </w:numPr>
        <w:overflowPunct/>
        <w:autoSpaceDE/>
        <w:autoSpaceDN/>
        <w:adjustRightInd/>
        <w:spacing w:after="0"/>
        <w:jc w:val="both"/>
        <w:textAlignment w:val="auto"/>
        <w:rPr>
          <w:rFonts w:eastAsia="Malgun Gothic"/>
          <w:lang w:eastAsia="en-US"/>
        </w:rPr>
      </w:pPr>
      <w:r w:rsidRPr="00EA22B9">
        <w:rPr>
          <w:rFonts w:eastAsia="Malgun Gothic"/>
          <w:lang w:eastAsia="en-US"/>
        </w:rPr>
        <w:t>FFS: The UE can update UL PL in a way that new UL PL = current UL PL + an update delta indicated by the NW.</w:t>
      </w:r>
    </w:p>
    <w:p w14:paraId="302B22BE" w14:textId="77777777" w:rsidR="00EA22B9" w:rsidRPr="00EA22B9" w:rsidRDefault="00EA22B9" w:rsidP="00EA22B9">
      <w:pPr>
        <w:numPr>
          <w:ilvl w:val="0"/>
          <w:numId w:val="35"/>
        </w:numPr>
        <w:overflowPunct/>
        <w:autoSpaceDE/>
        <w:autoSpaceDN/>
        <w:adjustRightInd/>
        <w:spacing w:after="0"/>
        <w:jc w:val="both"/>
        <w:textAlignment w:val="auto"/>
        <w:rPr>
          <w:rFonts w:eastAsia="DengXian"/>
          <w:lang w:eastAsia="zh-CN"/>
        </w:rPr>
      </w:pPr>
      <w:r w:rsidRPr="00EA22B9">
        <w:rPr>
          <w:rFonts w:eastAsia="DengXian"/>
          <w:lang w:eastAsia="zh-CN"/>
        </w:rPr>
        <w:t>Note: it does not intend to increase the number of maintained PLs per cell.</w:t>
      </w:r>
    </w:p>
    <w:p w14:paraId="01E0A6CC" w14:textId="77777777" w:rsidR="00EA22B9" w:rsidRPr="00EA22B9" w:rsidRDefault="00EA22B9" w:rsidP="00EA22B9">
      <w:pPr>
        <w:numPr>
          <w:ilvl w:val="0"/>
          <w:numId w:val="35"/>
        </w:numPr>
        <w:overflowPunct/>
        <w:autoSpaceDE/>
        <w:autoSpaceDN/>
        <w:adjustRightInd/>
        <w:spacing w:after="0"/>
        <w:jc w:val="both"/>
        <w:textAlignment w:val="auto"/>
        <w:rPr>
          <w:rFonts w:eastAsia="DengXian"/>
          <w:lang w:eastAsia="zh-CN"/>
        </w:rPr>
      </w:pPr>
      <w:r w:rsidRPr="00EA22B9">
        <w:rPr>
          <w:rFonts w:eastAsia="Malgun Gothic"/>
          <w:color w:val="FF0000"/>
          <w:lang w:eastAsia="en-US"/>
        </w:rPr>
        <w:t xml:space="preserve">FFS: </w:t>
      </w:r>
      <w:r w:rsidRPr="00EA22B9">
        <w:rPr>
          <w:rFonts w:eastAsia="DengXian"/>
          <w:color w:val="FF0000"/>
          <w:lang w:val="en-CA" w:eastAsia="zh-CN"/>
        </w:rPr>
        <w:t xml:space="preserve">whether to support associating </w:t>
      </w:r>
      <w:r w:rsidRPr="00EA22B9">
        <w:rPr>
          <w:rFonts w:eastAsia="DengXian"/>
          <w:color w:val="FF0000"/>
          <w:lang w:eastAsia="zh-CN"/>
        </w:rPr>
        <w:t xml:space="preserve">joint TCI state (if supported) with a </w:t>
      </w:r>
      <w:r w:rsidRPr="00EA22B9">
        <w:rPr>
          <w:rFonts w:eastAsia="DengXian"/>
          <w:color w:val="FF0000"/>
          <w:lang w:val="en-CA" w:eastAsia="zh-CN"/>
        </w:rPr>
        <w:t>PL offset.</w:t>
      </w:r>
    </w:p>
    <w:p w14:paraId="226B966F" w14:textId="77777777" w:rsidR="00EA22B9" w:rsidRPr="00EA22B9" w:rsidRDefault="00EA22B9" w:rsidP="00EA22B9">
      <w:pPr>
        <w:overflowPunct/>
        <w:autoSpaceDE/>
        <w:autoSpaceDN/>
        <w:adjustRightInd/>
        <w:spacing w:after="0"/>
        <w:ind w:left="360"/>
        <w:textAlignment w:val="auto"/>
        <w:rPr>
          <w:rFonts w:ascii="Times" w:eastAsia="DengXian" w:hAnsi="Times"/>
          <w:lang w:eastAsia="zh-CN"/>
        </w:rPr>
      </w:pPr>
      <w:r w:rsidRPr="00EA22B9">
        <w:rPr>
          <w:rFonts w:ascii="Times" w:eastAsia="DengXian" w:hAnsi="Times"/>
          <w:lang w:eastAsia="zh-CN"/>
        </w:rPr>
        <w:t>Further study whether/how to apply a PL offset on PDCCH-order PRACH transmission too.</w:t>
      </w:r>
    </w:p>
    <w:p w14:paraId="1476EE41" w14:textId="77777777" w:rsidR="00EA22B9" w:rsidRPr="00EA22B9" w:rsidRDefault="00EA22B9" w:rsidP="00EA22B9">
      <w:pPr>
        <w:numPr>
          <w:ilvl w:val="0"/>
          <w:numId w:val="35"/>
        </w:numPr>
        <w:overflowPunct/>
        <w:autoSpaceDE/>
        <w:autoSpaceDN/>
        <w:adjustRightInd/>
        <w:spacing w:after="0"/>
        <w:jc w:val="both"/>
        <w:textAlignment w:val="auto"/>
        <w:rPr>
          <w:rFonts w:ascii="Times" w:eastAsia="DengXian" w:hAnsi="Times"/>
          <w:lang w:eastAsia="zh-CN"/>
        </w:rPr>
      </w:pPr>
      <w:r w:rsidRPr="00EA22B9">
        <w:rPr>
          <w:rFonts w:ascii="Times" w:eastAsia="DengXian" w:hAnsi="Times"/>
          <w:lang w:eastAsia="zh-CN"/>
        </w:rPr>
        <w:t xml:space="preserve">FFS: how to determine the Tx beam of PRACH towards UL TRP </w:t>
      </w:r>
    </w:p>
    <w:p w14:paraId="319EFA7F" w14:textId="77777777" w:rsidR="00EA22B9" w:rsidRPr="00EA22B9" w:rsidRDefault="00EA22B9" w:rsidP="00EA22B9">
      <w:pPr>
        <w:numPr>
          <w:ilvl w:val="0"/>
          <w:numId w:val="35"/>
        </w:numPr>
        <w:overflowPunct/>
        <w:autoSpaceDE/>
        <w:autoSpaceDN/>
        <w:adjustRightInd/>
        <w:spacing w:after="0"/>
        <w:jc w:val="both"/>
        <w:textAlignment w:val="auto"/>
        <w:rPr>
          <w:rFonts w:ascii="Times" w:eastAsia="DengXian" w:hAnsi="Times"/>
          <w:lang w:eastAsia="zh-CN"/>
        </w:rPr>
      </w:pPr>
      <w:r w:rsidRPr="00EA22B9">
        <w:rPr>
          <w:rFonts w:ascii="Times" w:eastAsia="DengXian" w:hAnsi="Times"/>
          <w:lang w:eastAsia="zh-CN"/>
        </w:rPr>
        <w:t>Note: this does not imply to support 2 TA for single-DCI based system.</w:t>
      </w:r>
    </w:p>
    <w:p w14:paraId="3AFCAD88" w14:textId="77777777" w:rsidR="00EA22B9" w:rsidRPr="00EA22B9" w:rsidRDefault="00EA22B9" w:rsidP="00EA22B9">
      <w:pPr>
        <w:overflowPunct/>
        <w:autoSpaceDE/>
        <w:autoSpaceDN/>
        <w:adjustRightInd/>
        <w:spacing w:after="0"/>
        <w:textAlignment w:val="auto"/>
        <w:rPr>
          <w:rFonts w:ascii="Times" w:eastAsia="Batang" w:hAnsi="Times"/>
          <w:szCs w:val="24"/>
          <w:lang w:eastAsia="en-US"/>
        </w:rPr>
      </w:pPr>
    </w:p>
    <w:p w14:paraId="0A9A1A9E"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54FBDB91" w14:textId="77777777" w:rsidR="00EA22B9" w:rsidRPr="00EA22B9" w:rsidRDefault="00EA22B9" w:rsidP="00EA22B9">
      <w:pPr>
        <w:overflowPunct/>
        <w:autoSpaceDE/>
        <w:autoSpaceDN/>
        <w:adjustRightInd/>
        <w:spacing w:after="0"/>
        <w:textAlignment w:val="auto"/>
        <w:rPr>
          <w:rFonts w:ascii="Times" w:eastAsia="DengXian" w:hAnsi="Times"/>
          <w:lang w:val="en-CA" w:eastAsia="zh-CN"/>
        </w:rPr>
      </w:pPr>
      <w:r w:rsidRPr="00EA22B9">
        <w:rPr>
          <w:rFonts w:ascii="Times" w:eastAsia="DengXian" w:hAnsi="Times"/>
          <w:lang w:val="en-CA" w:eastAsia="zh-CN"/>
        </w:rPr>
        <w:t xml:space="preserve">To facilitate the asymmetric DL sTRP/UL mTRP deployment scenarios, support </w:t>
      </w:r>
      <w:r w:rsidRPr="00EA22B9">
        <w:rPr>
          <w:rFonts w:ascii="Times" w:eastAsia="DengXian" w:hAnsi="Times"/>
          <w:strike/>
          <w:color w:val="FF0000"/>
          <w:lang w:val="en-CA" w:eastAsia="zh-CN"/>
        </w:rPr>
        <w:t>configuring</w:t>
      </w:r>
      <w:r w:rsidRPr="00EA22B9">
        <w:rPr>
          <w:rFonts w:ascii="Times" w:eastAsia="DengXian" w:hAnsi="Times"/>
          <w:color w:val="FF0000"/>
          <w:lang w:val="en-CA" w:eastAsia="zh-CN"/>
        </w:rPr>
        <w:t xml:space="preserve"> </w:t>
      </w:r>
      <w:r w:rsidRPr="00EA22B9">
        <w:rPr>
          <w:rFonts w:ascii="Times" w:eastAsia="DengXian" w:hAnsi="Times"/>
          <w:lang w:val="en-CA" w:eastAsia="zh-CN"/>
        </w:rPr>
        <w:t>two closed-loop PC adjustment states for SRS in one CC, both of which are separate from that of the PUSCH.</w:t>
      </w:r>
    </w:p>
    <w:p w14:paraId="5D231E0B" w14:textId="77777777" w:rsidR="00EA22B9" w:rsidRPr="00EA22B9" w:rsidRDefault="00EA22B9" w:rsidP="00EA22B9">
      <w:pPr>
        <w:overflowPunct/>
        <w:autoSpaceDE/>
        <w:autoSpaceDN/>
        <w:adjustRightInd/>
        <w:spacing w:after="0"/>
        <w:textAlignment w:val="auto"/>
        <w:rPr>
          <w:rFonts w:ascii="Times" w:eastAsia="Batang" w:hAnsi="Times"/>
          <w:szCs w:val="24"/>
          <w:lang w:val="en-CA" w:eastAsia="en-US"/>
        </w:rPr>
      </w:pPr>
    </w:p>
    <w:p w14:paraId="27447A11"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090BB180" w14:textId="77777777" w:rsidR="00EA22B9" w:rsidRPr="00EA22B9" w:rsidRDefault="00EA22B9" w:rsidP="00EA22B9">
      <w:pPr>
        <w:overflowPunct/>
        <w:autoSpaceDE/>
        <w:autoSpaceDN/>
        <w:adjustRightInd/>
        <w:spacing w:after="0"/>
        <w:jc w:val="both"/>
        <w:textAlignment w:val="auto"/>
        <w:rPr>
          <w:rFonts w:eastAsia="DengXian"/>
          <w:lang w:eastAsia="en-US"/>
        </w:rPr>
      </w:pPr>
      <w:r w:rsidRPr="00EA22B9">
        <w:rPr>
          <w:rFonts w:eastAsia="DengXian"/>
          <w:lang w:eastAsia="en-US"/>
        </w:rPr>
        <w:t>Study how to indicate TPC command for those two SRS CLPC adjustment states through DCI when the UE is configured two SRS CLPC adjustment states, down-select from the following options:</w:t>
      </w:r>
    </w:p>
    <w:p w14:paraId="20A52E61"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 xml:space="preserve">Option 1: enhance the legacy DCI format 2_3 of </w:t>
      </w:r>
      <w:r w:rsidRPr="00EA22B9">
        <w:rPr>
          <w:rFonts w:eastAsia="DengXian"/>
          <w:lang w:val="en-US" w:eastAsia="en-US"/>
        </w:rPr>
        <w:t xml:space="preserve">higher layer parameter </w:t>
      </w:r>
      <w:r w:rsidRPr="00EA22B9">
        <w:rPr>
          <w:rFonts w:eastAsia="DengXian"/>
          <w:i/>
          <w:iCs/>
          <w:lang w:val="en-US" w:eastAsia="en-US"/>
        </w:rPr>
        <w:t>srs-TPC-PDCCH-Group</w:t>
      </w:r>
      <w:r w:rsidRPr="00EA22B9">
        <w:rPr>
          <w:rFonts w:eastAsia="DengXian"/>
          <w:lang w:val="en-US" w:eastAsia="en-US"/>
        </w:rPr>
        <w:t xml:space="preserve"> = typeA;</w:t>
      </w:r>
    </w:p>
    <w:p w14:paraId="7BF0FF86"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 xml:space="preserve">Option 2: enhance the legacy DCI format 2_3 of </w:t>
      </w:r>
      <w:r w:rsidRPr="00EA22B9">
        <w:rPr>
          <w:rFonts w:eastAsia="DengXian"/>
          <w:lang w:val="en-US" w:eastAsia="en-US"/>
        </w:rPr>
        <w:t xml:space="preserve">higher layer parameter </w:t>
      </w:r>
      <w:r w:rsidRPr="00EA22B9">
        <w:rPr>
          <w:rFonts w:eastAsia="DengXian"/>
          <w:i/>
          <w:iCs/>
          <w:lang w:val="en-US" w:eastAsia="en-US"/>
        </w:rPr>
        <w:t>srs-TPC-PDCCH-Group</w:t>
      </w:r>
      <w:r w:rsidRPr="00EA22B9">
        <w:rPr>
          <w:rFonts w:eastAsia="DengXian"/>
          <w:lang w:val="en-US" w:eastAsia="en-US"/>
        </w:rPr>
        <w:t xml:space="preserve"> = typeB;</w:t>
      </w:r>
    </w:p>
    <w:p w14:paraId="6787B209"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 xml:space="preserve">Option 3: enhance the legacy DCI format 2_3 of </w:t>
      </w:r>
      <w:r w:rsidRPr="00EA22B9">
        <w:rPr>
          <w:rFonts w:eastAsia="DengXian"/>
          <w:lang w:val="en-US" w:eastAsia="en-US"/>
        </w:rPr>
        <w:t xml:space="preserve">higher layer parameter </w:t>
      </w:r>
      <w:r w:rsidRPr="00EA22B9">
        <w:rPr>
          <w:rFonts w:eastAsia="DengXian"/>
          <w:i/>
          <w:iCs/>
          <w:lang w:val="en-US" w:eastAsia="en-US"/>
        </w:rPr>
        <w:t>srs-TPC-PDCCH-Group</w:t>
      </w:r>
      <w:r w:rsidRPr="00EA22B9">
        <w:rPr>
          <w:rFonts w:eastAsia="DengXian"/>
          <w:lang w:val="en-US" w:eastAsia="en-US"/>
        </w:rPr>
        <w:t xml:space="preserve"> = typeA and typeB;</w:t>
      </w:r>
    </w:p>
    <w:p w14:paraId="5BC5F4EF" w14:textId="77777777" w:rsidR="00EA22B9" w:rsidRPr="00EA22B9" w:rsidRDefault="00EA22B9" w:rsidP="00EA22B9">
      <w:pPr>
        <w:numPr>
          <w:ilvl w:val="0"/>
          <w:numId w:val="37"/>
        </w:numPr>
        <w:overflowPunct/>
        <w:autoSpaceDE/>
        <w:autoSpaceDN/>
        <w:adjustRightInd/>
        <w:spacing w:after="0"/>
        <w:jc w:val="both"/>
        <w:textAlignment w:val="auto"/>
        <w:rPr>
          <w:rFonts w:eastAsia="DengXian"/>
          <w:color w:val="FF0000"/>
          <w:lang w:eastAsia="en-US"/>
        </w:rPr>
      </w:pPr>
      <w:r w:rsidRPr="00EA22B9">
        <w:rPr>
          <w:rFonts w:eastAsia="DengXian"/>
          <w:color w:val="FF0000"/>
          <w:lang w:eastAsia="en-US"/>
        </w:rPr>
        <w:t>Option 4: enhance DCI format 1_1 and/or 0_1 to indicate TPC for SRS CLPC adjustment states</w:t>
      </w:r>
    </w:p>
    <w:p w14:paraId="545263B8"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lastRenderedPageBreak/>
        <w:t>Option 5: enhance the legacy DCI format 2_3 by introducing a new Type for higher layer parameter srs-TPC-PDCCH-Group</w:t>
      </w:r>
    </w:p>
    <w:p w14:paraId="77C85D16"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Option 6: new DCI format to indicate TPC for SRS CLPC adjustment states</w:t>
      </w:r>
    </w:p>
    <w:p w14:paraId="5CA80DA0"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Other options are not precluded.</w:t>
      </w:r>
    </w:p>
    <w:p w14:paraId="361F9E0C" w14:textId="77777777" w:rsidR="00EA22B9" w:rsidRPr="00EA22B9" w:rsidRDefault="00EA22B9" w:rsidP="00EA22B9">
      <w:pPr>
        <w:overflowPunct/>
        <w:autoSpaceDE/>
        <w:autoSpaceDN/>
        <w:adjustRightInd/>
        <w:spacing w:after="0"/>
        <w:jc w:val="both"/>
        <w:textAlignment w:val="auto"/>
        <w:rPr>
          <w:rFonts w:eastAsia="DengXian"/>
          <w:lang w:eastAsia="en-US"/>
        </w:rPr>
      </w:pPr>
      <w:r w:rsidRPr="00EA22B9">
        <w:rPr>
          <w:rFonts w:eastAsia="DengXian"/>
          <w:lang w:eastAsia="en-US"/>
        </w:rPr>
        <w:t>For the Options1, 2, 3 and 5, consider at least the following Alts as possible examples:</w:t>
      </w:r>
    </w:p>
    <w:p w14:paraId="75FF13EA"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Alt1: In DCI format 2_3, add one additional TPC command for each CC configured with two SRS CLPC adjustment states, </w:t>
      </w:r>
    </w:p>
    <w:p w14:paraId="55ABE4E1" w14:textId="77777777" w:rsidR="00EA22B9" w:rsidRPr="00EA22B9" w:rsidRDefault="00EA22B9" w:rsidP="00EA22B9">
      <w:pPr>
        <w:numPr>
          <w:ilvl w:val="1"/>
          <w:numId w:val="36"/>
        </w:numPr>
        <w:overflowPunct/>
        <w:autoSpaceDE/>
        <w:autoSpaceDN/>
        <w:adjustRightInd/>
        <w:spacing w:after="0"/>
        <w:jc w:val="both"/>
        <w:textAlignment w:val="auto"/>
        <w:rPr>
          <w:rFonts w:eastAsia="DengXian"/>
          <w:lang w:eastAsia="en-US"/>
        </w:rPr>
      </w:pPr>
      <w:r w:rsidRPr="00EA22B9">
        <w:rPr>
          <w:rFonts w:eastAsia="DengXian"/>
          <w:lang w:eastAsia="en-US"/>
        </w:rPr>
        <w:t>the first TPC command is associated with the first SRS CLPC adjustment state and the second TPC command is associated with the second SRS CLPC adjustment state.</w:t>
      </w:r>
    </w:p>
    <w:p w14:paraId="3E7862BB"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zh-CN"/>
        </w:rPr>
      </w:pPr>
      <w:r w:rsidRPr="00EA22B9">
        <w:rPr>
          <w:rFonts w:eastAsia="DengXian"/>
          <w:lang w:eastAsia="en-US"/>
        </w:rPr>
        <w:t xml:space="preserve">Alt2: </w:t>
      </w:r>
      <w:r w:rsidRPr="00EA22B9">
        <w:rPr>
          <w:rFonts w:eastAsia="DengXian" w:hint="eastAsia"/>
          <w:lang w:eastAsia="zh-CN"/>
        </w:rPr>
        <w:t>Introduce</w:t>
      </w:r>
      <w:r w:rsidRPr="00EA22B9">
        <w:rPr>
          <w:rFonts w:eastAsia="DengXian"/>
          <w:lang w:eastAsia="zh-CN"/>
        </w:rPr>
        <w:t xml:space="preserve"> one 1-bit closed-loop-indicator field for each TPC command in DCI format 2_3 </w:t>
      </w:r>
    </w:p>
    <w:p w14:paraId="2B70755A" w14:textId="77777777" w:rsidR="00EA22B9" w:rsidRPr="00EA22B9" w:rsidRDefault="00EA22B9" w:rsidP="00EA22B9">
      <w:pPr>
        <w:numPr>
          <w:ilvl w:val="1"/>
          <w:numId w:val="36"/>
        </w:numPr>
        <w:overflowPunct/>
        <w:autoSpaceDE/>
        <w:autoSpaceDN/>
        <w:adjustRightInd/>
        <w:spacing w:after="0"/>
        <w:jc w:val="both"/>
        <w:textAlignment w:val="auto"/>
        <w:rPr>
          <w:rFonts w:eastAsia="DengXian"/>
          <w:lang w:eastAsia="zh-CN"/>
        </w:rPr>
      </w:pPr>
      <w:r w:rsidRPr="00EA22B9">
        <w:rPr>
          <w:rFonts w:eastAsia="DengXian"/>
          <w:lang w:eastAsia="zh-CN"/>
        </w:rPr>
        <w:t xml:space="preserve">This 1-bit closed-loop-indicator indicates the first SRS CLPC adjustment state or the second SRS CLPC adjustment state. </w:t>
      </w:r>
    </w:p>
    <w:p w14:paraId="1452DA3C"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Alt3: use two different TPC-SRS-RNTIs for DCI format 2_3: </w:t>
      </w:r>
    </w:p>
    <w:p w14:paraId="498AEFC9" w14:textId="77777777" w:rsidR="00EA22B9" w:rsidRPr="00EA22B9" w:rsidRDefault="00EA22B9" w:rsidP="00EA22B9">
      <w:pPr>
        <w:numPr>
          <w:ilvl w:val="1"/>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DCI format 2_3 with CRC scrambled with the first TPC-SRS-RNTI and the second TPC-SRS-RNTI indicates the TPC command for the first and second SRS CLPC adjustment state, respectively. </w:t>
      </w:r>
    </w:p>
    <w:p w14:paraId="721DD080"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Alt4: Implicit method: </w:t>
      </w:r>
    </w:p>
    <w:p w14:paraId="7CD4C092" w14:textId="77777777" w:rsidR="00EA22B9" w:rsidRPr="00EA22B9" w:rsidRDefault="00EA22B9" w:rsidP="00EA22B9">
      <w:pPr>
        <w:overflowPunct/>
        <w:autoSpaceDE/>
        <w:autoSpaceDN/>
        <w:adjustRightInd/>
        <w:spacing w:after="0"/>
        <w:textAlignment w:val="auto"/>
        <w:rPr>
          <w:rFonts w:ascii="Times" w:eastAsia="Batang" w:hAnsi="Times"/>
          <w:szCs w:val="24"/>
          <w:lang w:val="en-CA" w:eastAsia="en-US"/>
        </w:rPr>
      </w:pPr>
    </w:p>
    <w:p w14:paraId="08ECADD5"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7AD5838A" w14:textId="77777777" w:rsidR="00EA22B9" w:rsidRPr="00EA22B9" w:rsidRDefault="00EA22B9" w:rsidP="00EA22B9">
      <w:pPr>
        <w:overflowPunct/>
        <w:autoSpaceDE/>
        <w:autoSpaceDN/>
        <w:adjustRightInd/>
        <w:spacing w:after="0"/>
        <w:jc w:val="both"/>
        <w:textAlignment w:val="auto"/>
        <w:rPr>
          <w:rFonts w:eastAsia="DengXian"/>
          <w:lang w:val="en-US" w:eastAsia="zh-CN"/>
        </w:rPr>
      </w:pPr>
      <w:r w:rsidRPr="00EA22B9">
        <w:rPr>
          <w:rFonts w:eastAsia="DengXian"/>
          <w:lang w:val="en-US" w:eastAsia="zh-CN"/>
        </w:rPr>
        <w:t>To support two SRS CLPC adjustment states, study and possibly down-select at least one from the following Alts:</w:t>
      </w:r>
    </w:p>
    <w:p w14:paraId="6C244A0E"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en-US"/>
        </w:rPr>
      </w:pPr>
      <w:r w:rsidRPr="00EA22B9">
        <w:rPr>
          <w:rFonts w:eastAsia="DengXian"/>
          <w:lang w:eastAsia="zh-CN"/>
        </w:rPr>
        <w:t>Alt1: SRS CLPC adjustment state is associated with SRS resource set</w:t>
      </w:r>
    </w:p>
    <w:p w14:paraId="4739DDEB"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en-US"/>
        </w:rPr>
      </w:pPr>
      <w:r w:rsidRPr="00EA22B9">
        <w:rPr>
          <w:rFonts w:eastAsia="DengXian"/>
          <w:lang w:eastAsia="en-US"/>
        </w:rPr>
        <w:t xml:space="preserve">Alt2: When the parameter </w:t>
      </w:r>
      <w:r w:rsidRPr="00EA22B9">
        <w:rPr>
          <w:rFonts w:eastAsia="DengXian"/>
          <w:i/>
          <w:iCs/>
          <w:lang w:eastAsia="en-US"/>
        </w:rPr>
        <w:t>srs-PowerControlAdjustmentStates</w:t>
      </w:r>
      <w:r w:rsidRPr="00EA22B9">
        <w:rPr>
          <w:rFonts w:eastAsia="DengXian"/>
          <w:lang w:eastAsia="en-US"/>
        </w:rPr>
        <w:t xml:space="preserve"> is set to 'separateClosedLoop', </w:t>
      </w:r>
      <w:r w:rsidRPr="00EA22B9">
        <w:rPr>
          <w:rFonts w:eastAsia="DengXian"/>
          <w:i/>
          <w:iCs/>
          <w:lang w:eastAsia="en-US"/>
        </w:rPr>
        <w:t>closedLoopIndex-r17</w:t>
      </w:r>
      <w:r w:rsidRPr="00EA22B9">
        <w:rPr>
          <w:rFonts w:eastAsia="DengXian"/>
          <w:lang w:eastAsia="en-US"/>
        </w:rPr>
        <w:t xml:space="preserve"> in the TCI state indicates one of the SRS CLPC adjustment states</w:t>
      </w:r>
    </w:p>
    <w:p w14:paraId="12034A54"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zh-CN"/>
        </w:rPr>
      </w:pPr>
      <w:r w:rsidRPr="00EA22B9">
        <w:rPr>
          <w:rFonts w:eastAsia="DengXian"/>
          <w:lang w:eastAsia="zh-CN"/>
        </w:rPr>
        <w:t xml:space="preserve">Alt3: Add one extra parameter in </w:t>
      </w:r>
      <w:r w:rsidRPr="00EA22B9">
        <w:rPr>
          <w:rFonts w:eastAsia="DengXian"/>
          <w:i/>
          <w:iCs/>
          <w:lang w:eastAsia="en-US"/>
        </w:rPr>
        <w:t>P0AlphaSet-r17</w:t>
      </w:r>
      <w:r w:rsidRPr="00EA22B9">
        <w:rPr>
          <w:rFonts w:eastAsia="DengXian"/>
          <w:lang w:eastAsia="en-US"/>
        </w:rPr>
        <w:t xml:space="preserve"> of TCI state to indicate one of those two SRS CLPC adjustment states</w:t>
      </w:r>
    </w:p>
    <w:p w14:paraId="234736B5"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en-US"/>
        </w:rPr>
      </w:pPr>
      <w:r w:rsidRPr="00EA22B9">
        <w:rPr>
          <w:rFonts w:eastAsia="DengXian"/>
          <w:lang w:eastAsia="zh-CN"/>
        </w:rPr>
        <w:t>Alt4: SRS CLPC adjustment state is associated with SRS resource usage type</w:t>
      </w:r>
    </w:p>
    <w:p w14:paraId="7E0A8E73" w14:textId="77777777" w:rsidR="00EA22B9" w:rsidRPr="00EA22B9" w:rsidRDefault="00EA22B9" w:rsidP="00EA22B9">
      <w:pPr>
        <w:overflowPunct/>
        <w:autoSpaceDE/>
        <w:autoSpaceDN/>
        <w:adjustRightInd/>
        <w:spacing w:after="0"/>
        <w:jc w:val="both"/>
        <w:textAlignment w:val="auto"/>
        <w:rPr>
          <w:rFonts w:eastAsia="DengXian"/>
          <w:lang w:eastAsia="en-US"/>
        </w:rPr>
      </w:pPr>
      <w:r w:rsidRPr="00EA22B9">
        <w:rPr>
          <w:rFonts w:eastAsia="DengXian"/>
          <w:lang w:eastAsia="en-US"/>
        </w:rPr>
        <w:t>Note: Other alternatives are not precluded</w:t>
      </w:r>
    </w:p>
    <w:p w14:paraId="7607C3AA" w14:textId="77777777" w:rsidR="00EA22B9" w:rsidRPr="00EA22B9" w:rsidRDefault="00EA22B9" w:rsidP="00EA22B9">
      <w:pPr>
        <w:overflowPunct/>
        <w:autoSpaceDE/>
        <w:autoSpaceDN/>
        <w:adjustRightInd/>
        <w:spacing w:after="0"/>
        <w:textAlignment w:val="auto"/>
        <w:rPr>
          <w:rFonts w:ascii="Times" w:eastAsia="DengXian" w:hAnsi="Times" w:cs="Batang"/>
          <w:highlight w:val="green"/>
          <w:lang w:eastAsia="en-US"/>
        </w:rPr>
      </w:pPr>
      <w:r w:rsidRPr="00EA22B9">
        <w:rPr>
          <w:rFonts w:ascii="Times" w:eastAsia="DengXian" w:hAnsi="Times" w:cs="Batang"/>
          <w:b/>
          <w:bCs/>
          <w:highlight w:val="green"/>
          <w:lang w:eastAsia="en-US"/>
        </w:rPr>
        <w:t>Agreement</w:t>
      </w:r>
    </w:p>
    <w:p w14:paraId="22EA548F" w14:textId="77777777" w:rsidR="00EA22B9" w:rsidRPr="00EA22B9" w:rsidRDefault="00EA22B9" w:rsidP="00EA22B9">
      <w:pPr>
        <w:overflowPunct/>
        <w:autoSpaceDE/>
        <w:autoSpaceDN/>
        <w:adjustRightInd/>
        <w:spacing w:after="0"/>
        <w:textAlignment w:val="auto"/>
        <w:rPr>
          <w:rFonts w:ascii="Times" w:eastAsia="DengXian" w:hAnsi="Times" w:cs="Batang"/>
          <w:lang w:eastAsia="en-US"/>
        </w:rPr>
      </w:pPr>
      <w:r w:rsidRPr="00EA22B9">
        <w:rPr>
          <w:rFonts w:ascii="Times" w:eastAsia="DengXian" w:hAnsi="Times" w:cs="Batang"/>
          <w:lang w:eastAsia="en-US"/>
        </w:rPr>
        <w:t>Down-select one from the following alternatives:</w:t>
      </w:r>
    </w:p>
    <w:p w14:paraId="12BAB8E9" w14:textId="77777777" w:rsidR="00EA22B9" w:rsidRPr="00EA22B9" w:rsidRDefault="00EA22B9" w:rsidP="00EA22B9">
      <w:pPr>
        <w:numPr>
          <w:ilvl w:val="0"/>
          <w:numId w:val="34"/>
        </w:numPr>
        <w:overflowPunct/>
        <w:autoSpaceDE/>
        <w:autoSpaceDN/>
        <w:adjustRightInd/>
        <w:spacing w:after="0"/>
        <w:textAlignment w:val="auto"/>
        <w:rPr>
          <w:rFonts w:ascii="Times" w:eastAsia="DengXian" w:hAnsi="Times" w:cs="Batang"/>
          <w:lang w:eastAsia="en-US"/>
        </w:rPr>
      </w:pPr>
      <w:r w:rsidRPr="00EA22B9">
        <w:rPr>
          <w:rFonts w:ascii="Times" w:hAnsi="Times" w:cs="Batang"/>
        </w:rPr>
        <w:t xml:space="preserve">Alt1: Use only RRC to update the PL offset associated with the </w:t>
      </w:r>
      <w:r w:rsidRPr="00EA22B9">
        <w:rPr>
          <w:rFonts w:ascii="Times" w:eastAsia="DengXian" w:hAnsi="Times" w:cs="Batang"/>
          <w:lang w:eastAsia="en-US"/>
        </w:rPr>
        <w:t>UL TCI state</w:t>
      </w:r>
    </w:p>
    <w:p w14:paraId="205476A6" w14:textId="77777777" w:rsidR="00EA22B9" w:rsidRPr="00EA22B9" w:rsidRDefault="00EA22B9" w:rsidP="00EA22B9">
      <w:pPr>
        <w:numPr>
          <w:ilvl w:val="0"/>
          <w:numId w:val="34"/>
        </w:numPr>
        <w:overflowPunct/>
        <w:autoSpaceDE/>
        <w:autoSpaceDN/>
        <w:adjustRightInd/>
        <w:spacing w:after="0"/>
        <w:textAlignment w:val="auto"/>
        <w:rPr>
          <w:rFonts w:ascii="Times" w:eastAsia="DengXian" w:hAnsi="Times" w:cs="Batang"/>
          <w:lang w:eastAsia="en-US"/>
        </w:rPr>
      </w:pPr>
      <w:r w:rsidRPr="00EA22B9">
        <w:rPr>
          <w:rFonts w:ascii="Times" w:hAnsi="Times" w:cs="Batang"/>
        </w:rPr>
        <w:t>Alt2: In addition to RRC, MAC-CE can be used to update the PL offset associated with the</w:t>
      </w:r>
      <w:r w:rsidRPr="00EA22B9">
        <w:rPr>
          <w:rFonts w:ascii="Times" w:eastAsia="DengXian" w:hAnsi="Times" w:cs="Batang"/>
          <w:lang w:eastAsia="en-US"/>
        </w:rPr>
        <w:t xml:space="preserve"> UL TCI state</w:t>
      </w:r>
    </w:p>
    <w:p w14:paraId="63587407" w14:textId="77777777" w:rsidR="00EA22B9" w:rsidRPr="00EA22B9" w:rsidRDefault="00EA22B9" w:rsidP="00EA22B9">
      <w:pPr>
        <w:numPr>
          <w:ilvl w:val="1"/>
          <w:numId w:val="34"/>
        </w:numPr>
        <w:overflowPunct/>
        <w:autoSpaceDE/>
        <w:autoSpaceDN/>
        <w:adjustRightInd/>
        <w:spacing w:after="0"/>
        <w:textAlignment w:val="auto"/>
        <w:rPr>
          <w:rFonts w:ascii="Times" w:eastAsia="DengXian" w:hAnsi="Times" w:cs="Batang"/>
          <w:lang w:eastAsia="en-US"/>
        </w:rPr>
      </w:pPr>
      <w:r w:rsidRPr="00EA22B9">
        <w:rPr>
          <w:rFonts w:ascii="Times" w:hAnsi="Times" w:cs="Batang"/>
        </w:rPr>
        <w:t>FFS: Details on MAC CE</w:t>
      </w:r>
    </w:p>
    <w:p w14:paraId="5ABEF3A0" w14:textId="77777777" w:rsidR="00EA22B9" w:rsidRPr="00EA22B9" w:rsidRDefault="00EA22B9" w:rsidP="00EA22B9">
      <w:pPr>
        <w:overflowPunct/>
        <w:autoSpaceDE/>
        <w:autoSpaceDN/>
        <w:adjustRightInd/>
        <w:spacing w:after="0"/>
        <w:textAlignment w:val="auto"/>
        <w:rPr>
          <w:rFonts w:ascii="Times" w:eastAsia="DengXian" w:hAnsi="Times" w:cs="Batang"/>
          <w:highlight w:val="green"/>
          <w:lang w:eastAsia="en-US"/>
        </w:rPr>
      </w:pPr>
      <w:r w:rsidRPr="00EA22B9">
        <w:rPr>
          <w:rFonts w:ascii="Times" w:eastAsia="DengXian" w:hAnsi="Times" w:cs="Batang"/>
          <w:b/>
          <w:bCs/>
          <w:highlight w:val="green"/>
          <w:lang w:eastAsia="en-US"/>
        </w:rPr>
        <w:t>Agreement</w:t>
      </w:r>
    </w:p>
    <w:p w14:paraId="6A951A96" w14:textId="77777777" w:rsidR="00EA22B9" w:rsidRPr="00EA22B9" w:rsidRDefault="00EA22B9" w:rsidP="00EA22B9">
      <w:pPr>
        <w:overflowPunct/>
        <w:autoSpaceDE/>
        <w:autoSpaceDN/>
        <w:adjustRightInd/>
        <w:spacing w:after="0"/>
        <w:textAlignment w:val="auto"/>
        <w:rPr>
          <w:rFonts w:ascii="Times" w:eastAsia="DengXian" w:hAnsi="Times" w:cs="Batang"/>
          <w:lang w:eastAsia="en-US"/>
        </w:rPr>
      </w:pPr>
      <w:r w:rsidRPr="00EA22B9">
        <w:rPr>
          <w:rFonts w:ascii="Times" w:eastAsia="DengXian" w:hAnsi="Times" w:cs="Batang"/>
          <w:lang w:eastAsia="en-US"/>
        </w:rPr>
        <w:t>For the asymmetric DL sTRP/UL mTRP deployment scenarios, separate DL/UL TCI state mode of Rel-17/18 unified TCI framework can be configured for both FR1 and FR2.</w:t>
      </w:r>
    </w:p>
    <w:p w14:paraId="7529E80C" w14:textId="77777777" w:rsidR="00EA22B9" w:rsidRPr="00EA22B9" w:rsidRDefault="00EA22B9" w:rsidP="00EA22B9">
      <w:pPr>
        <w:numPr>
          <w:ilvl w:val="0"/>
          <w:numId w:val="34"/>
        </w:numPr>
        <w:overflowPunct/>
        <w:autoSpaceDE/>
        <w:autoSpaceDN/>
        <w:adjustRightInd/>
        <w:spacing w:after="0"/>
        <w:textAlignment w:val="auto"/>
        <w:rPr>
          <w:rFonts w:ascii="Times" w:hAnsi="Times" w:cs="Batang"/>
        </w:rPr>
      </w:pPr>
      <w:r w:rsidRPr="00EA22B9">
        <w:rPr>
          <w:rFonts w:ascii="Times" w:hAnsi="Times" w:cs="Batang"/>
        </w:rPr>
        <w:t>Joint TCI state mode can be configured at least for FR1</w:t>
      </w:r>
    </w:p>
    <w:p w14:paraId="38E6426E" w14:textId="5BBA9351"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EA22B9">
        <w:rPr>
          <w:rFonts w:ascii="Arial" w:hAnsi="Arial" w:cs="Arial"/>
          <w:sz w:val="22"/>
          <w:szCs w:val="22"/>
        </w:rPr>
        <w:t>some aspects for asymmetric DL sTRP and UL mTRP</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06FAEB67" w14:textId="0AC0D252" w:rsidR="001373BC" w:rsidRDefault="001373BC" w:rsidP="001373BC">
      <w:pPr>
        <w:pStyle w:val="4"/>
      </w:pPr>
      <w:r>
        <w:t>PL offset</w:t>
      </w:r>
    </w:p>
    <w:p w14:paraId="22514206" w14:textId="7FA73F42" w:rsidR="001373BC" w:rsidRDefault="001373BC" w:rsidP="00325D9C">
      <w:pPr>
        <w:jc w:val="both"/>
        <w:rPr>
          <w:rFonts w:ascii="Arial" w:eastAsiaTheme="minorEastAsia" w:hAnsi="Arial" w:cs="Arial"/>
          <w:bCs/>
          <w:sz w:val="22"/>
          <w:szCs w:val="22"/>
        </w:rPr>
      </w:pPr>
      <w:r>
        <w:rPr>
          <w:rFonts w:ascii="Arial" w:eastAsiaTheme="minorEastAsia" w:hAnsi="Arial" w:cs="Arial"/>
          <w:bCs/>
          <w:sz w:val="22"/>
          <w:szCs w:val="22"/>
        </w:rPr>
        <w:t>In previous RAN1 meeting, there was a debate whether to support RRC only for updating PL offset or additionally support MAC CE for updating PL offset. PL would be a L3-filtered value which may not vary too much once there is a RRC configured PL offset between normal TRP and UL only TRP. However, considering UE mobility regarding lev</w:t>
      </w:r>
      <w:r w:rsidR="00C10222">
        <w:rPr>
          <w:rFonts w:ascii="Arial" w:eastAsiaTheme="minorEastAsia" w:hAnsi="Arial" w:cs="Arial"/>
          <w:bCs/>
          <w:sz w:val="22"/>
          <w:szCs w:val="22"/>
        </w:rPr>
        <w:t xml:space="preserve">eraging lower layer signal (i.e., </w:t>
      </w:r>
      <w:r>
        <w:rPr>
          <w:rFonts w:ascii="Arial" w:eastAsiaTheme="minorEastAsia" w:hAnsi="Arial" w:cs="Arial"/>
          <w:bCs/>
          <w:sz w:val="22"/>
          <w:szCs w:val="22"/>
        </w:rPr>
        <w:t>L1/L2-triggered mobility</w:t>
      </w:r>
      <w:r w:rsidR="00C10222">
        <w:rPr>
          <w:rFonts w:ascii="Arial" w:eastAsiaTheme="minorEastAsia" w:hAnsi="Arial" w:cs="Arial"/>
          <w:bCs/>
          <w:sz w:val="22"/>
          <w:szCs w:val="22"/>
        </w:rPr>
        <w:t xml:space="preserve">), lower layer signal could provide benefit of timely suitable PL between TRPs. Thus, it’s our opinion that RAN1 could make a working assumption to support both RRC and MAC CE. Besides, </w:t>
      </w:r>
      <w:r w:rsidR="00443939">
        <w:rPr>
          <w:rFonts w:ascii="Arial" w:eastAsiaTheme="minorEastAsia" w:hAnsi="Arial" w:cs="Arial"/>
          <w:bCs/>
          <w:sz w:val="22"/>
          <w:szCs w:val="22"/>
        </w:rPr>
        <w:t xml:space="preserve">possible mobility use case could be </w:t>
      </w:r>
      <w:r>
        <w:rPr>
          <w:rFonts w:ascii="Arial" w:eastAsiaTheme="minorEastAsia" w:hAnsi="Arial" w:cs="Arial"/>
          <w:bCs/>
          <w:sz w:val="22"/>
          <w:szCs w:val="22"/>
        </w:rPr>
        <w:t>from UL only TRP to another UL only TRP or from UL only TRP to normal TRP or from normal TRP to one UL o</w:t>
      </w:r>
      <w:r w:rsidR="00443939">
        <w:rPr>
          <w:rFonts w:ascii="Arial" w:eastAsiaTheme="minorEastAsia" w:hAnsi="Arial" w:cs="Arial"/>
          <w:bCs/>
          <w:sz w:val="22"/>
          <w:szCs w:val="22"/>
        </w:rPr>
        <w:t xml:space="preserve">nly TRP. </w:t>
      </w:r>
      <w:r w:rsidR="00362137">
        <w:rPr>
          <w:rFonts w:ascii="Arial" w:eastAsiaTheme="minorEastAsia" w:hAnsi="Arial" w:cs="Arial"/>
          <w:bCs/>
          <w:sz w:val="22"/>
          <w:szCs w:val="22"/>
        </w:rPr>
        <w:t>Once the UE changes TRP, MAC CE is more suitable for updating PL offset. In the last, RAN1 could discuss whether to use s</w:t>
      </w:r>
      <w:r w:rsidR="006E1E6D">
        <w:rPr>
          <w:rFonts w:ascii="Arial" w:eastAsiaTheme="minorEastAsia" w:hAnsi="Arial" w:cs="Arial"/>
          <w:bCs/>
          <w:sz w:val="22"/>
          <w:szCs w:val="22"/>
        </w:rPr>
        <w:t>ame</w:t>
      </w:r>
      <w:r w:rsidR="00A66B57">
        <w:rPr>
          <w:rFonts w:ascii="Arial" w:eastAsiaTheme="minorEastAsia" w:hAnsi="Arial" w:cs="Arial"/>
          <w:bCs/>
          <w:sz w:val="22"/>
          <w:szCs w:val="22"/>
        </w:rPr>
        <w:t xml:space="preserve"> or </w:t>
      </w:r>
      <w:r w:rsidR="006E1E6D">
        <w:rPr>
          <w:rFonts w:ascii="Arial" w:eastAsiaTheme="minorEastAsia" w:hAnsi="Arial" w:cs="Arial"/>
          <w:bCs/>
          <w:sz w:val="22"/>
          <w:szCs w:val="22"/>
        </w:rPr>
        <w:t xml:space="preserve">different </w:t>
      </w:r>
      <w:r w:rsidR="00110D70">
        <w:rPr>
          <w:rFonts w:ascii="Arial" w:eastAsiaTheme="minorEastAsia" w:hAnsi="Arial" w:cs="Arial"/>
          <w:bCs/>
          <w:sz w:val="22"/>
          <w:szCs w:val="22"/>
        </w:rPr>
        <w:t xml:space="preserve">MAC CE for updating PL offset </w:t>
      </w:r>
      <w:r w:rsidR="00362137">
        <w:rPr>
          <w:rFonts w:ascii="Arial" w:eastAsiaTheme="minorEastAsia" w:hAnsi="Arial" w:cs="Arial"/>
          <w:bCs/>
          <w:sz w:val="22"/>
          <w:szCs w:val="22"/>
        </w:rPr>
        <w:t>as</w:t>
      </w:r>
      <w:r w:rsidR="00110D70">
        <w:rPr>
          <w:rFonts w:ascii="Arial" w:eastAsiaTheme="minorEastAsia" w:hAnsi="Arial" w:cs="Arial"/>
          <w:bCs/>
          <w:sz w:val="22"/>
          <w:szCs w:val="22"/>
        </w:rPr>
        <w:t xml:space="preserve"> TCI state (de)activation </w:t>
      </w:r>
      <w:r w:rsidR="00362137">
        <w:rPr>
          <w:rFonts w:ascii="Arial" w:eastAsiaTheme="minorEastAsia" w:hAnsi="Arial" w:cs="Arial"/>
          <w:bCs/>
          <w:sz w:val="22"/>
          <w:szCs w:val="22"/>
        </w:rPr>
        <w:t>MAC CE.</w:t>
      </w:r>
      <w:r w:rsidR="00110D70">
        <w:rPr>
          <w:rFonts w:ascii="Arial" w:eastAsiaTheme="minorEastAsia" w:hAnsi="Arial" w:cs="Arial"/>
          <w:bCs/>
          <w:sz w:val="22"/>
          <w:szCs w:val="22"/>
        </w:rPr>
        <w:t xml:space="preserve"> </w:t>
      </w:r>
    </w:p>
    <w:p w14:paraId="4125F1AF" w14:textId="58630BE9" w:rsidR="00C10222" w:rsidRDefault="00C10222" w:rsidP="00C1022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E610F1">
        <w:rPr>
          <w:rFonts w:ascii="Arial" w:eastAsiaTheme="minorEastAsia" w:hAnsi="Arial" w:cs="Arial"/>
          <w:b/>
          <w:bCs/>
          <w:sz w:val="22"/>
          <w:szCs w:val="22"/>
        </w:rPr>
        <w:t>Support to u</w:t>
      </w:r>
      <w:r>
        <w:rPr>
          <w:rFonts w:ascii="Arial" w:eastAsiaTheme="minorEastAsia" w:hAnsi="Arial" w:cs="Arial"/>
          <w:b/>
          <w:bCs/>
          <w:sz w:val="22"/>
          <w:szCs w:val="22"/>
        </w:rPr>
        <w:t>se both RRC and MAC CE to update PL offset.</w:t>
      </w:r>
    </w:p>
    <w:p w14:paraId="065DD8B9" w14:textId="3BDAB58F" w:rsidR="00720965" w:rsidRDefault="00720965" w:rsidP="00720965">
      <w:pPr>
        <w:pStyle w:val="4"/>
      </w:pPr>
      <w:r>
        <w:t>TCI state mode</w:t>
      </w:r>
    </w:p>
    <w:p w14:paraId="5BCE9AC8" w14:textId="2B7FDC2F" w:rsidR="00720965" w:rsidRPr="00720965" w:rsidRDefault="00720965" w:rsidP="00720965">
      <w:pPr>
        <w:jc w:val="both"/>
        <w:rPr>
          <w:rFonts w:ascii="Arial" w:eastAsiaTheme="minorEastAsia" w:hAnsi="Arial" w:cs="Arial"/>
          <w:b/>
          <w:bCs/>
          <w:sz w:val="22"/>
          <w:szCs w:val="22"/>
        </w:rPr>
      </w:pPr>
      <w:r>
        <w:rPr>
          <w:rFonts w:ascii="Arial" w:eastAsiaTheme="minorEastAsia" w:hAnsi="Arial" w:cs="Arial"/>
          <w:bCs/>
          <w:sz w:val="22"/>
          <w:szCs w:val="22"/>
        </w:rPr>
        <w:t xml:space="preserve">In previous RAN1 meeting, for asymmetric DL sTRP and UL mTRP deployment, it was agreed to support separate </w:t>
      </w:r>
      <w:r w:rsidRPr="00720965">
        <w:rPr>
          <w:rFonts w:ascii="Arial" w:eastAsiaTheme="minorEastAsia" w:hAnsi="Arial" w:cs="Arial"/>
          <w:bCs/>
          <w:sz w:val="22"/>
          <w:szCs w:val="22"/>
        </w:rPr>
        <w:t>DL/UL TCI state mode</w:t>
      </w:r>
      <w:r>
        <w:rPr>
          <w:rFonts w:ascii="Arial" w:eastAsiaTheme="minorEastAsia" w:hAnsi="Arial" w:cs="Arial"/>
          <w:bCs/>
          <w:sz w:val="22"/>
          <w:szCs w:val="22"/>
        </w:rPr>
        <w:t xml:space="preserve"> for both FR1 and FR2 while support joint </w:t>
      </w:r>
      <w:r w:rsidRPr="00720965">
        <w:rPr>
          <w:rFonts w:ascii="Arial" w:eastAsiaTheme="minorEastAsia" w:hAnsi="Arial" w:cs="Arial"/>
          <w:bCs/>
          <w:sz w:val="22"/>
          <w:szCs w:val="22"/>
        </w:rPr>
        <w:t>TCI state mode</w:t>
      </w:r>
      <w:r>
        <w:rPr>
          <w:rFonts w:ascii="Arial" w:eastAsiaTheme="minorEastAsia" w:hAnsi="Arial" w:cs="Arial"/>
          <w:bCs/>
          <w:sz w:val="22"/>
          <w:szCs w:val="22"/>
        </w:rPr>
        <w:t xml:space="preserve"> for FR1 only. Since there is no need of beam or type-D QCL info in FR1, joint TCI state mode </w:t>
      </w:r>
      <w:r w:rsidR="00C76258">
        <w:rPr>
          <w:rFonts w:ascii="Arial" w:eastAsiaTheme="minorEastAsia" w:hAnsi="Arial" w:cs="Arial"/>
          <w:bCs/>
          <w:sz w:val="22"/>
          <w:szCs w:val="22"/>
        </w:rPr>
        <w:t xml:space="preserve">could be supported in FR1. According to Rel-18 unified TCI state framework, UL mTRP needs to have two activated and indicated joint TCI states. However, due to DL </w:t>
      </w:r>
      <w:r w:rsidR="00745932">
        <w:rPr>
          <w:rFonts w:ascii="Arial" w:eastAsiaTheme="minorEastAsia" w:hAnsi="Arial" w:cs="Arial" w:hint="eastAsia"/>
          <w:bCs/>
          <w:sz w:val="22"/>
          <w:szCs w:val="22"/>
        </w:rPr>
        <w:t>s</w:t>
      </w:r>
      <w:r w:rsidR="00745932">
        <w:rPr>
          <w:rFonts w:ascii="Arial" w:eastAsiaTheme="minorEastAsia" w:hAnsi="Arial" w:cs="Arial"/>
          <w:bCs/>
          <w:sz w:val="22"/>
          <w:szCs w:val="22"/>
        </w:rPr>
        <w:t>TRP</w:t>
      </w:r>
      <w:r w:rsidR="00CF3070">
        <w:rPr>
          <w:rFonts w:ascii="Arial" w:eastAsiaTheme="minorEastAsia" w:hAnsi="Arial" w:cs="Arial"/>
          <w:bCs/>
          <w:sz w:val="22"/>
          <w:szCs w:val="22"/>
        </w:rPr>
        <w:t xml:space="preserve"> which need</w:t>
      </w:r>
      <w:r w:rsidR="009874A0">
        <w:rPr>
          <w:rFonts w:ascii="Arial" w:eastAsiaTheme="minorEastAsia" w:hAnsi="Arial" w:cs="Arial"/>
          <w:bCs/>
          <w:sz w:val="22"/>
          <w:szCs w:val="22"/>
        </w:rPr>
        <w:t>s</w:t>
      </w:r>
      <w:r w:rsidR="00CF3070">
        <w:rPr>
          <w:rFonts w:ascii="Arial" w:eastAsiaTheme="minorEastAsia" w:hAnsi="Arial" w:cs="Arial"/>
          <w:bCs/>
          <w:sz w:val="22"/>
          <w:szCs w:val="22"/>
        </w:rPr>
        <w:t xml:space="preserve"> only on</w:t>
      </w:r>
      <w:r w:rsidR="008A5081">
        <w:rPr>
          <w:rFonts w:ascii="Arial" w:eastAsiaTheme="minorEastAsia" w:hAnsi="Arial" w:cs="Arial"/>
          <w:bCs/>
          <w:sz w:val="22"/>
          <w:szCs w:val="22"/>
        </w:rPr>
        <w:t>e joint and indicated TCI state</w:t>
      </w:r>
      <w:r w:rsidR="00C76258">
        <w:rPr>
          <w:rFonts w:ascii="Arial" w:eastAsiaTheme="minorEastAsia" w:hAnsi="Arial" w:cs="Arial"/>
          <w:bCs/>
          <w:sz w:val="22"/>
          <w:szCs w:val="22"/>
        </w:rPr>
        <w:t>, how UE determines sTRP/mTRP for asymmetric deployment when being activated and indicated with two joint TCI states</w:t>
      </w:r>
      <w:r w:rsidR="00F84E83">
        <w:rPr>
          <w:rFonts w:ascii="Arial" w:eastAsiaTheme="minorEastAsia" w:hAnsi="Arial" w:cs="Arial"/>
          <w:bCs/>
          <w:sz w:val="22"/>
          <w:szCs w:val="22"/>
        </w:rPr>
        <w:t xml:space="preserve"> may need further discuss</w:t>
      </w:r>
      <w:r w:rsidR="00C76258">
        <w:rPr>
          <w:rFonts w:ascii="Arial" w:eastAsiaTheme="minorEastAsia" w:hAnsi="Arial" w:cs="Arial"/>
          <w:bCs/>
          <w:sz w:val="22"/>
          <w:szCs w:val="22"/>
        </w:rPr>
        <w:t>.</w:t>
      </w:r>
      <w:r w:rsidR="00CF3070">
        <w:rPr>
          <w:rFonts w:ascii="Arial" w:eastAsiaTheme="minorEastAsia" w:hAnsi="Arial" w:cs="Arial"/>
          <w:bCs/>
          <w:sz w:val="22"/>
          <w:szCs w:val="22"/>
        </w:rPr>
        <w:t xml:space="preserve"> We think explicit signal to indicate “asymmetric DL sTRP and UL mTRP” is needed. </w:t>
      </w:r>
      <w:r w:rsidR="00771702">
        <w:rPr>
          <w:rFonts w:ascii="Arial" w:eastAsiaTheme="minorEastAsia" w:hAnsi="Arial" w:cs="Arial"/>
          <w:bCs/>
          <w:sz w:val="22"/>
          <w:szCs w:val="22"/>
        </w:rPr>
        <w:t>Alternatively, PL offset in a TCI state (especially value 0) could be an implicit way to identify sTRP/mTRP for asymmetric deployment. Thus, UE would know one of join</w:t>
      </w:r>
      <w:r w:rsidR="00851760">
        <w:rPr>
          <w:rFonts w:ascii="Arial" w:eastAsiaTheme="minorEastAsia" w:hAnsi="Arial" w:cs="Arial"/>
          <w:bCs/>
          <w:sz w:val="22"/>
          <w:szCs w:val="22"/>
        </w:rPr>
        <w:t xml:space="preserve">t TCI state is merely for UL only. </w:t>
      </w:r>
      <w:bookmarkStart w:id="0" w:name="_GoBack"/>
      <w:bookmarkEnd w:id="0"/>
    </w:p>
    <w:p w14:paraId="41184BB1" w14:textId="5249E204" w:rsidR="000248E1" w:rsidRPr="000248E1" w:rsidRDefault="000248E1" w:rsidP="00F37C4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771702">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F37C47">
        <w:rPr>
          <w:rFonts w:ascii="Arial" w:eastAsiaTheme="minorEastAsia" w:hAnsi="Arial" w:cs="Arial"/>
          <w:b/>
          <w:bCs/>
          <w:sz w:val="22"/>
          <w:szCs w:val="22"/>
        </w:rPr>
        <w:t xml:space="preserve">When UE is activated and indicated two joint TCI states in FR1, </w:t>
      </w:r>
      <w:r w:rsidR="00771702">
        <w:rPr>
          <w:rFonts w:ascii="Arial" w:eastAsiaTheme="minorEastAsia" w:hAnsi="Arial" w:cs="Arial"/>
          <w:b/>
          <w:bCs/>
          <w:sz w:val="22"/>
          <w:szCs w:val="22"/>
        </w:rPr>
        <w:t xml:space="preserve">RAN1 to </w:t>
      </w:r>
      <w:r w:rsidR="00F37C47">
        <w:rPr>
          <w:rFonts w:ascii="Arial" w:eastAsiaTheme="minorEastAsia" w:hAnsi="Arial" w:cs="Arial"/>
          <w:b/>
          <w:bCs/>
          <w:sz w:val="22"/>
          <w:szCs w:val="22"/>
        </w:rPr>
        <w:t>discuss how UE differentiate between “</w:t>
      </w:r>
      <w:r w:rsidR="00F37C47" w:rsidRPr="00F37C47">
        <w:rPr>
          <w:rFonts w:ascii="Arial" w:eastAsiaTheme="minorEastAsia" w:hAnsi="Arial" w:cs="Arial"/>
          <w:b/>
          <w:bCs/>
          <w:sz w:val="22"/>
          <w:szCs w:val="22"/>
        </w:rPr>
        <w:t>asymmetric DL sTRP and UL mTRP deployment</w:t>
      </w:r>
      <w:r w:rsidR="00F37C47">
        <w:rPr>
          <w:rFonts w:ascii="Arial" w:eastAsiaTheme="minorEastAsia" w:hAnsi="Arial" w:cs="Arial"/>
          <w:b/>
          <w:bCs/>
          <w:sz w:val="22"/>
          <w:szCs w:val="22"/>
        </w:rPr>
        <w:t>” or “</w:t>
      </w:r>
      <w:r w:rsidR="00F37C47" w:rsidRPr="00F37C47">
        <w:rPr>
          <w:rFonts w:ascii="Arial" w:eastAsiaTheme="minorEastAsia" w:hAnsi="Arial" w:cs="Arial"/>
          <w:b/>
          <w:bCs/>
          <w:sz w:val="22"/>
          <w:szCs w:val="22"/>
        </w:rPr>
        <w:t>DL</w:t>
      </w:r>
      <w:r w:rsidR="00F37C47">
        <w:rPr>
          <w:rFonts w:ascii="Arial" w:eastAsiaTheme="minorEastAsia" w:hAnsi="Arial" w:cs="Arial"/>
          <w:b/>
          <w:bCs/>
          <w:sz w:val="22"/>
          <w:szCs w:val="22"/>
        </w:rPr>
        <w:t xml:space="preserve"> m</w:t>
      </w:r>
      <w:r w:rsidR="00F37C47" w:rsidRPr="00F37C47">
        <w:rPr>
          <w:rFonts w:ascii="Arial" w:eastAsiaTheme="minorEastAsia" w:hAnsi="Arial" w:cs="Arial"/>
          <w:b/>
          <w:bCs/>
          <w:sz w:val="22"/>
          <w:szCs w:val="22"/>
        </w:rPr>
        <w:t>TRP and UL mTRP deployment</w:t>
      </w:r>
      <w:r w:rsidR="00F37C47">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4382F1F" w14:textId="019137C9" w:rsidR="00F37C47" w:rsidRDefault="00F37C47" w:rsidP="00F37C4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E610F1">
        <w:rPr>
          <w:rFonts w:ascii="Arial" w:eastAsiaTheme="minorEastAsia" w:hAnsi="Arial" w:cs="Arial"/>
          <w:b/>
          <w:bCs/>
          <w:sz w:val="22"/>
          <w:szCs w:val="22"/>
        </w:rPr>
        <w:t>Support to u</w:t>
      </w:r>
      <w:r>
        <w:rPr>
          <w:rFonts w:ascii="Arial" w:eastAsiaTheme="minorEastAsia" w:hAnsi="Arial" w:cs="Arial"/>
          <w:b/>
          <w:bCs/>
          <w:sz w:val="22"/>
          <w:szCs w:val="22"/>
        </w:rPr>
        <w:t>se both RRC and MAC CE to update PL offset.</w:t>
      </w:r>
    </w:p>
    <w:p w14:paraId="0008B14C" w14:textId="3B15D06B" w:rsidR="005E3D09" w:rsidRPr="00F37C47" w:rsidRDefault="00F37C47" w:rsidP="00E610F1">
      <w:pPr>
        <w:tabs>
          <w:tab w:val="num" w:pos="1304"/>
          <w:tab w:val="left" w:pos="1701"/>
        </w:tabs>
        <w:overflowPunct/>
        <w:autoSpaceDE/>
        <w:autoSpaceDN/>
        <w:adjustRightInd/>
        <w:spacing w:after="120" w:line="259" w:lineRule="auto"/>
        <w:ind w:left="1304" w:hanging="1304"/>
        <w:jc w:val="both"/>
        <w:textAlignment w:val="auto"/>
        <w:rPr>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When UE is activated and indicated two joint TCI states in FR1, RAN1 to discuss how UE differentiate between “</w:t>
      </w:r>
      <w:r w:rsidRPr="00F37C47">
        <w:rPr>
          <w:rFonts w:ascii="Arial" w:eastAsiaTheme="minorEastAsia" w:hAnsi="Arial" w:cs="Arial"/>
          <w:b/>
          <w:bCs/>
          <w:sz w:val="22"/>
          <w:szCs w:val="22"/>
        </w:rPr>
        <w:t>asymmetric DL sTRP and UL mTRP deployment</w:t>
      </w:r>
      <w:r>
        <w:rPr>
          <w:rFonts w:ascii="Arial" w:eastAsiaTheme="minorEastAsia" w:hAnsi="Arial" w:cs="Arial"/>
          <w:b/>
          <w:bCs/>
          <w:sz w:val="22"/>
          <w:szCs w:val="22"/>
        </w:rPr>
        <w:t>” or “</w:t>
      </w:r>
      <w:r w:rsidRPr="00F37C47">
        <w:rPr>
          <w:rFonts w:ascii="Arial" w:eastAsiaTheme="minorEastAsia" w:hAnsi="Arial" w:cs="Arial"/>
          <w:b/>
          <w:bCs/>
          <w:sz w:val="22"/>
          <w:szCs w:val="22"/>
        </w:rPr>
        <w:t>DL</w:t>
      </w:r>
      <w:r>
        <w:rPr>
          <w:rFonts w:ascii="Arial" w:eastAsiaTheme="minorEastAsia" w:hAnsi="Arial" w:cs="Arial"/>
          <w:b/>
          <w:bCs/>
          <w:sz w:val="22"/>
          <w:szCs w:val="22"/>
        </w:rPr>
        <w:t xml:space="preserve"> m</w:t>
      </w:r>
      <w:r w:rsidRPr="00F37C47">
        <w:rPr>
          <w:rFonts w:ascii="Arial" w:eastAsiaTheme="minorEastAsia" w:hAnsi="Arial" w:cs="Arial"/>
          <w:b/>
          <w:bCs/>
          <w:sz w:val="22"/>
          <w:szCs w:val="22"/>
        </w:rPr>
        <w:t>TRP and UL mTRP deployment</w:t>
      </w:r>
      <w:r>
        <w:rPr>
          <w:rFonts w:ascii="Arial" w:eastAsiaTheme="minorEastAsia" w:hAnsi="Arial" w:cs="Arial"/>
          <w:b/>
          <w:bCs/>
          <w:sz w:val="22"/>
          <w:szCs w:val="22"/>
        </w:rPr>
        <w:t>”</w:t>
      </w:r>
    </w:p>
    <w:sectPr w:rsidR="005E3D09" w:rsidRPr="00F37C4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45CC9" w14:textId="77777777" w:rsidR="00842658" w:rsidRDefault="00842658" w:rsidP="000D05D3">
      <w:pPr>
        <w:spacing w:after="0"/>
      </w:pPr>
      <w:r>
        <w:separator/>
      </w:r>
    </w:p>
  </w:endnote>
  <w:endnote w:type="continuationSeparator" w:id="0">
    <w:p w14:paraId="6692896B" w14:textId="77777777" w:rsidR="00842658" w:rsidRDefault="0084265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5DC20" w14:textId="77777777" w:rsidR="00842658" w:rsidRDefault="00842658" w:rsidP="000D05D3">
      <w:pPr>
        <w:spacing w:after="0"/>
      </w:pPr>
      <w:r>
        <w:separator/>
      </w:r>
    </w:p>
  </w:footnote>
  <w:footnote w:type="continuationSeparator" w:id="0">
    <w:p w14:paraId="5E5B5E4E" w14:textId="77777777" w:rsidR="00842658" w:rsidRDefault="0084265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9"/>
  </w:num>
  <w:num w:numId="3">
    <w:abstractNumId w:val="4"/>
  </w:num>
  <w:num w:numId="4">
    <w:abstractNumId w:val="21"/>
  </w:num>
  <w:num w:numId="5">
    <w:abstractNumId w:val="37"/>
  </w:num>
  <w:num w:numId="6">
    <w:abstractNumId w:val="22"/>
  </w:num>
  <w:num w:numId="7">
    <w:abstractNumId w:val="36"/>
  </w:num>
  <w:num w:numId="8">
    <w:abstractNumId w:val="16"/>
  </w:num>
  <w:num w:numId="9">
    <w:abstractNumId w:val="3"/>
  </w:num>
  <w:num w:numId="10">
    <w:abstractNumId w:val="0"/>
  </w:num>
  <w:num w:numId="11">
    <w:abstractNumId w:val="34"/>
  </w:num>
  <w:num w:numId="12">
    <w:abstractNumId w:val="28"/>
  </w:num>
  <w:num w:numId="13">
    <w:abstractNumId w:val="17"/>
  </w:num>
  <w:num w:numId="14">
    <w:abstractNumId w:val="18"/>
  </w:num>
  <w:num w:numId="15">
    <w:abstractNumId w:val="15"/>
  </w:num>
  <w:num w:numId="16">
    <w:abstractNumId w:val="14"/>
  </w:num>
  <w:num w:numId="17">
    <w:abstractNumId w:val="11"/>
  </w:num>
  <w:num w:numId="18">
    <w:abstractNumId w:val="12"/>
  </w:num>
  <w:num w:numId="19">
    <w:abstractNumId w:val="31"/>
  </w:num>
  <w:num w:numId="20">
    <w:abstractNumId w:val="26"/>
  </w:num>
  <w:num w:numId="21">
    <w:abstractNumId w:val="33"/>
  </w:num>
  <w:num w:numId="22">
    <w:abstractNumId w:val="32"/>
  </w:num>
  <w:num w:numId="23">
    <w:abstractNumId w:val="10"/>
  </w:num>
  <w:num w:numId="24">
    <w:abstractNumId w:val="1"/>
  </w:num>
  <w:num w:numId="25">
    <w:abstractNumId w:val="35"/>
  </w:num>
  <w:num w:numId="26">
    <w:abstractNumId w:val="2"/>
  </w:num>
  <w:num w:numId="27">
    <w:abstractNumId w:val="9"/>
  </w:num>
  <w:num w:numId="28">
    <w:abstractNumId w:val="30"/>
  </w:num>
  <w:num w:numId="29">
    <w:abstractNumId w:val="23"/>
  </w:num>
  <w:num w:numId="30">
    <w:abstractNumId w:val="5"/>
  </w:num>
  <w:num w:numId="31">
    <w:abstractNumId w:val="24"/>
  </w:num>
  <w:num w:numId="32">
    <w:abstractNumId w:val="6"/>
  </w:num>
  <w:num w:numId="33">
    <w:abstractNumId w:val="25"/>
  </w:num>
  <w:num w:numId="34">
    <w:abstractNumId w:val="20"/>
  </w:num>
  <w:num w:numId="35">
    <w:abstractNumId w:val="29"/>
  </w:num>
  <w:num w:numId="36">
    <w:abstractNumId w:val="13"/>
  </w:num>
  <w:num w:numId="37">
    <w:abstractNumId w:val="8"/>
  </w:num>
  <w:num w:numId="3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78E"/>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10D70"/>
    <w:rsid w:val="001210A4"/>
    <w:rsid w:val="00124DA2"/>
    <w:rsid w:val="00131A55"/>
    <w:rsid w:val="00134223"/>
    <w:rsid w:val="00134C2D"/>
    <w:rsid w:val="0013658A"/>
    <w:rsid w:val="001373BC"/>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6379"/>
    <w:rsid w:val="0017714F"/>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F4B52"/>
    <w:rsid w:val="002F6FA2"/>
    <w:rsid w:val="00301BF8"/>
    <w:rsid w:val="00302987"/>
    <w:rsid w:val="003048CB"/>
    <w:rsid w:val="003058EB"/>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3606"/>
    <w:rsid w:val="00352CEC"/>
    <w:rsid w:val="00354606"/>
    <w:rsid w:val="0035664C"/>
    <w:rsid w:val="00356C41"/>
    <w:rsid w:val="00356E0A"/>
    <w:rsid w:val="00357883"/>
    <w:rsid w:val="003613F7"/>
    <w:rsid w:val="0036213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3939"/>
    <w:rsid w:val="00447EBB"/>
    <w:rsid w:val="00450957"/>
    <w:rsid w:val="004523D9"/>
    <w:rsid w:val="0045300D"/>
    <w:rsid w:val="0045633A"/>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8F"/>
    <w:rsid w:val="005A433E"/>
    <w:rsid w:val="005B2D5E"/>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5FC"/>
    <w:rsid w:val="006C282A"/>
    <w:rsid w:val="006E1E6D"/>
    <w:rsid w:val="006E2F6B"/>
    <w:rsid w:val="006E3094"/>
    <w:rsid w:val="006E585C"/>
    <w:rsid w:val="006E63BF"/>
    <w:rsid w:val="006F2C15"/>
    <w:rsid w:val="006F325A"/>
    <w:rsid w:val="006F799D"/>
    <w:rsid w:val="007003C0"/>
    <w:rsid w:val="0070581B"/>
    <w:rsid w:val="00711D23"/>
    <w:rsid w:val="00712271"/>
    <w:rsid w:val="00712741"/>
    <w:rsid w:val="00716057"/>
    <w:rsid w:val="007163FE"/>
    <w:rsid w:val="00720965"/>
    <w:rsid w:val="00724CED"/>
    <w:rsid w:val="007259AF"/>
    <w:rsid w:val="00727250"/>
    <w:rsid w:val="00727854"/>
    <w:rsid w:val="007279DD"/>
    <w:rsid w:val="0073629E"/>
    <w:rsid w:val="00736630"/>
    <w:rsid w:val="00736B37"/>
    <w:rsid w:val="00740575"/>
    <w:rsid w:val="0074289F"/>
    <w:rsid w:val="007432A5"/>
    <w:rsid w:val="00745932"/>
    <w:rsid w:val="00751098"/>
    <w:rsid w:val="007567A8"/>
    <w:rsid w:val="007616C6"/>
    <w:rsid w:val="00762965"/>
    <w:rsid w:val="0076359F"/>
    <w:rsid w:val="00764A37"/>
    <w:rsid w:val="00764CB2"/>
    <w:rsid w:val="00766E2E"/>
    <w:rsid w:val="00771702"/>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B7C25"/>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444B"/>
    <w:rsid w:val="00836846"/>
    <w:rsid w:val="0083741C"/>
    <w:rsid w:val="00840447"/>
    <w:rsid w:val="00842128"/>
    <w:rsid w:val="00842658"/>
    <w:rsid w:val="00842906"/>
    <w:rsid w:val="0084308E"/>
    <w:rsid w:val="00844F40"/>
    <w:rsid w:val="00846086"/>
    <w:rsid w:val="008468E3"/>
    <w:rsid w:val="00851760"/>
    <w:rsid w:val="00854452"/>
    <w:rsid w:val="00862EAC"/>
    <w:rsid w:val="00866A83"/>
    <w:rsid w:val="008702AC"/>
    <w:rsid w:val="0087462F"/>
    <w:rsid w:val="00881AF7"/>
    <w:rsid w:val="00893C78"/>
    <w:rsid w:val="00895D59"/>
    <w:rsid w:val="008968B4"/>
    <w:rsid w:val="00897923"/>
    <w:rsid w:val="008A0220"/>
    <w:rsid w:val="008A219B"/>
    <w:rsid w:val="008A4CE3"/>
    <w:rsid w:val="008A5081"/>
    <w:rsid w:val="008A7BB1"/>
    <w:rsid w:val="008B1AEA"/>
    <w:rsid w:val="008B1C30"/>
    <w:rsid w:val="008B2B61"/>
    <w:rsid w:val="008B6ED6"/>
    <w:rsid w:val="008C2F03"/>
    <w:rsid w:val="008C3126"/>
    <w:rsid w:val="008C62BB"/>
    <w:rsid w:val="008C6F73"/>
    <w:rsid w:val="008D37E6"/>
    <w:rsid w:val="008D6004"/>
    <w:rsid w:val="008D60F9"/>
    <w:rsid w:val="008D6876"/>
    <w:rsid w:val="008E3B67"/>
    <w:rsid w:val="008E503C"/>
    <w:rsid w:val="008F405F"/>
    <w:rsid w:val="008F4A88"/>
    <w:rsid w:val="008F5935"/>
    <w:rsid w:val="00901AB1"/>
    <w:rsid w:val="00901B2C"/>
    <w:rsid w:val="00920F14"/>
    <w:rsid w:val="00922EC8"/>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874A0"/>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242C6"/>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436E"/>
    <w:rsid w:val="00A6543E"/>
    <w:rsid w:val="00A66486"/>
    <w:rsid w:val="00A66B57"/>
    <w:rsid w:val="00A73E1D"/>
    <w:rsid w:val="00A7456C"/>
    <w:rsid w:val="00A74FA2"/>
    <w:rsid w:val="00A81C02"/>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70092"/>
    <w:rsid w:val="00B70A92"/>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C10222"/>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258"/>
    <w:rsid w:val="00C767A9"/>
    <w:rsid w:val="00C84956"/>
    <w:rsid w:val="00C84F4E"/>
    <w:rsid w:val="00C852B6"/>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30F0"/>
    <w:rsid w:val="00CE6689"/>
    <w:rsid w:val="00CF2979"/>
    <w:rsid w:val="00CF3070"/>
    <w:rsid w:val="00CF3D8E"/>
    <w:rsid w:val="00CF5E36"/>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10F1"/>
    <w:rsid w:val="00E62C7D"/>
    <w:rsid w:val="00E63810"/>
    <w:rsid w:val="00E64648"/>
    <w:rsid w:val="00E67302"/>
    <w:rsid w:val="00E70707"/>
    <w:rsid w:val="00E70AFC"/>
    <w:rsid w:val="00E71239"/>
    <w:rsid w:val="00E843B7"/>
    <w:rsid w:val="00E867AE"/>
    <w:rsid w:val="00E908F7"/>
    <w:rsid w:val="00E912B3"/>
    <w:rsid w:val="00E92EF0"/>
    <w:rsid w:val="00E932FE"/>
    <w:rsid w:val="00E9451F"/>
    <w:rsid w:val="00EA22B9"/>
    <w:rsid w:val="00EA2A60"/>
    <w:rsid w:val="00EA4A0F"/>
    <w:rsid w:val="00EA50F1"/>
    <w:rsid w:val="00EA53DA"/>
    <w:rsid w:val="00EA6C06"/>
    <w:rsid w:val="00EB649A"/>
    <w:rsid w:val="00EB7E35"/>
    <w:rsid w:val="00EC4661"/>
    <w:rsid w:val="00EC4B9C"/>
    <w:rsid w:val="00EC6455"/>
    <w:rsid w:val="00EC675C"/>
    <w:rsid w:val="00EC78C9"/>
    <w:rsid w:val="00ED6131"/>
    <w:rsid w:val="00EE03C4"/>
    <w:rsid w:val="00EE130E"/>
    <w:rsid w:val="00EE14F4"/>
    <w:rsid w:val="00EE4E23"/>
    <w:rsid w:val="00EE72F2"/>
    <w:rsid w:val="00EF208B"/>
    <w:rsid w:val="00EF616F"/>
    <w:rsid w:val="00F011F4"/>
    <w:rsid w:val="00F05299"/>
    <w:rsid w:val="00F06187"/>
    <w:rsid w:val="00F132FD"/>
    <w:rsid w:val="00F148F5"/>
    <w:rsid w:val="00F17CD1"/>
    <w:rsid w:val="00F32171"/>
    <w:rsid w:val="00F33624"/>
    <w:rsid w:val="00F347C0"/>
    <w:rsid w:val="00F3493C"/>
    <w:rsid w:val="00F34B5E"/>
    <w:rsid w:val="00F35972"/>
    <w:rsid w:val="00F37C47"/>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4E83"/>
    <w:rsid w:val="00F86DCD"/>
    <w:rsid w:val="00F86EAB"/>
    <w:rsid w:val="00F97CA7"/>
    <w:rsid w:val="00FA1618"/>
    <w:rsid w:val="00FA2D85"/>
    <w:rsid w:val="00FA36F5"/>
    <w:rsid w:val="00FA60B9"/>
    <w:rsid w:val="00FB0A12"/>
    <w:rsid w:val="00FB139D"/>
    <w:rsid w:val="00FB3AA6"/>
    <w:rsid w:val="00FB5A30"/>
    <w:rsid w:val="00FB7628"/>
    <w:rsid w:val="00FC1864"/>
    <w:rsid w:val="00FC1881"/>
    <w:rsid w:val="00FD23AB"/>
    <w:rsid w:val="00FD551A"/>
    <w:rsid w:val="00FD701F"/>
    <w:rsid w:val="00FE13B7"/>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EF8A3-89D7-48C4-B212-6197608B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1013</Words>
  <Characters>5777</Characters>
  <Application>Microsoft Office Word</Application>
  <DocSecurity>0</DocSecurity>
  <Lines>48</Lines>
  <Paragraphs>13</Paragraphs>
  <ScaleCrop>false</ScaleCrop>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51</cp:revision>
  <dcterms:created xsi:type="dcterms:W3CDTF">2024-02-07T03:34:00Z</dcterms:created>
  <dcterms:modified xsi:type="dcterms:W3CDTF">2024-04-05T04:01:00Z</dcterms:modified>
</cp:coreProperties>
</file>